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5100" w:type="dxa"/>
        <w:gridCol w:w="2248950" w:type="dxa"/>
        <w:gridCol w:w="2248950" w:type="dxa"/>
      </w:tblGrid>
      <w:tblPr>
        <w:tblW w:w="344400" w:type="pct"/>
        <w:tblLayout w:type="autofit"/>
        <w:bidiVisual w:val="0"/>
      </w:tblPr>
      <w:tr>
        <w:trPr>
          <w:tblHeader w:val="1"/>
        </w:trPr>
        <w:tc>
          <w:tcPr>
            <w:tcW w:w="5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489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2489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5100" w:type="pct"/>
          </w:tcPr>
          <w:p>
            <w:pPr>
              <w:jc w:val="center"/>
            </w:pPr>
            <w:r>
              <w:rPr/>
              <w:t xml:space="preserve">Organigramana de la entidad 2025</w:t>
            </w:r>
          </w:p>
        </w:tc>
        <w:tc>
          <w:tcPr>
            <w:tcW w:w="2248950" w:type="pct"/>
          </w:tcPr>
          <w:p>
            <w:pPr/>
          </w:p>
        </w:tc>
        <w:tc>
          <w:tcPr>
            <w:tcW w:w="224895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2026-10-16T01:04:55+00:00</dcterms:created>
  <dcterms:modified xsi:type="dcterms:W3CDTF">2026-10-16T01:04:55+00:00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