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5100" w:type="dxa"/>
        <w:gridCol w:w="2248950" w:type="dxa"/>
        <w:gridCol w:w="2248950" w:type="dxa"/>
      </w:tblGrid>
      <w:tblPr>
        <w:tblW w:w="344400" w:type="pct"/>
        <w:tblLayout w:type="autofit"/>
        <w:bidiVisual w:val="0"/>
      </w:tblPr>
      <w:tr>
        <w:trPr>
          <w:tblHeader w:val="1"/>
        </w:trPr>
        <w:tc>
          <w:tcPr>
            <w:tcW w:w="5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489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489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5100" w:type="pct"/>
          </w:tcPr>
          <w:p>
            <w:pPr>
              <w:jc w:val="center"/>
            </w:pPr>
            <w:r>
              <w:rPr/>
              <w:t xml:space="preserve">Organigramana de la entidad 2025</w:t>
            </w:r>
          </w:p>
        </w:tc>
        <w:tc>
          <w:tcPr>
            <w:tcW w:w="2248950" w:type="pct"/>
          </w:tcPr>
          <w:p>
            <w:pPr/>
          </w:p>
        </w:tc>
        <w:tc>
          <w:tcPr>
            <w:tcW w:w="224895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2026-08-30T05:20:00+00:00</dcterms:created>
  <dcterms:modified xsi:type="dcterms:W3CDTF">2026-08-30T05:20:00+00:00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