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12. 1157 Decisiones de desistimiento y renuncia de los contratos, </w:t>
      </w:r>
      <w:r>
        <w:rPr>
          <w:b w:val="1"/>
          <w:bCs w:val="1"/>
        </w:rPr>
        <w:t xml:space="preserve">desde el Patronato de la Fundación Canaria Nanino Díaz Cutillas, se pone en conocimiento del público en general, que no existió actividad en este apartado durante el segundo semestre del año 2023 ni en el año 2024, ni en el año 2025</w:t>
      </w:r>
    </w:p>
    <w:p>
      <w:pPr/>
      <w:r>
        <w:rPr/>
        <w:t xml:space="preserve">En todo lo demás, la ciudadanía puede emplear los medios legalmente establecidos para ejercer su derecho de acceso a la información pública.</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2026-08-30T05:20:44+00:00</dcterms:created>
  <dcterms:modified xsi:type="dcterms:W3CDTF">2026-08-30T05:20:44+00:00</dcterms:modified>
</cp:coreProperties>
</file>

<file path=docProps/custom.xml><?xml version="1.0" encoding="utf-8"?>
<Properties xmlns="http://schemas.openxmlformats.org/officeDocument/2006/custom-properties" xmlns:vt="http://schemas.openxmlformats.org/officeDocument/2006/docPropsVTypes"/>
</file>