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Al objeto de dar cumplimiento a los Indicadores de la Ley Canaria de Transparencia (Ley 12/2014, de 26 de diciembre) en su apartado 13. Convenios y encomiendas de gestión, concretamente en el subapartado “13.2 Encomiendas de gestión”, así como la amplitud de todos los componentes del mapa de obligaciones que lo componen (1167 - Entidad a la que se realiza la encomienda, 1174 - Tarifas y precios fijados, 1175 - Personas o entidades adjudicatarias de las subcontrataciones efectuadas, 1176 - Procedimiento seguido para las subcontrataciones efectuadas, 1177 - Importe de las adjudicaciones de las subcontrataciones efectuadas); </w:t>
      </w:r>
      <w:r>
        <w:rPr>
          <w:b w:val="1"/>
          <w:bCs w:val="1"/>
        </w:rPr>
        <w:t xml:space="preserve">desde el Patronato de la Fundación Canaria Nanino Díaz Cutillas, se pone en conocimiento del público en general, que en los ejercicios 2023 ni en el año 2024 ni en el año 2025 existió actividad en este apartado</w:t>
      </w:r>
      <w:r>
        <w:rPr/>
        <w:t xml:space="preserve">, pudiendo la ciudadanía emplear los medios legalmente establecidos para ejercer su derecho de acceso a la información pública.</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2026-05-30T19:07:39+00:00</dcterms:created>
  <dcterms:modified xsi:type="dcterms:W3CDTF">2026-05-30T19:07:39+00:00</dcterms:modified>
</cp:coreProperties>
</file>

<file path=docProps/custom.xml><?xml version="1.0" encoding="utf-8"?>
<Properties xmlns="http://schemas.openxmlformats.org/officeDocument/2006/custom-properties" xmlns:vt="http://schemas.openxmlformats.org/officeDocument/2006/docPropsVTypes"/>
</file>