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los subapartados “1048 Retribución percibida anualmente, articulada en función de la clase o categoría del órgano y especificando la dedicación mínima exigida en caso de dedicación parcial (en el caso de las entidades privadas se refiere a las de los administradores)" y "1056. Viajes, manutención, alojamiento y asistencia a órganos colegiados o sociales", </w:t>
      </w:r>
      <w:r>
        <w:rPr>
          <w:b w:val="1"/>
          <w:bCs w:val="1"/>
        </w:rPr>
        <w:t xml:space="preserve">desde el Patronato de la Fundación Canaria Nanino Díaz Cutillas, se pone en conocimiento del público en general, que los miembros del Patronato y de la Comisión Ejecutiva no recibieron ningún tipo de retribución ni indemnización durante el segundo semestre del año 2023 ni en el año 2024, ni en el año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Cerificado no existencia gastos de viajes, dietas, alojamiento,... () ()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2026-05-30T19:10:17+00:00</dcterms:created>
  <dcterms:modified xsi:type="dcterms:W3CDTF">2026-05-30T19:10:17+00:00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