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both"/>
      </w:pPr>
      <w:r>
        <w:rPr/>
        <w:t xml:space="preserve">Al objeto de dar cumplimiento a los Indicadores de la Ley Canaria de Transparencia (Ley 12/2014, de 26 de diciembre) en el subapartado “1050 Indemnizaciones percibidas por ocasión del abandono del cargo", desde el Patronato de la Fundación Canaria Nanino Díaz Cutillas, se pone en conocimiento del público en general, que no se otorgaron indemnizaciones por abandono de cargos durante el segundo semestre del año 2023, 2024 y 2025.</w:t>
      </w:r>
    </w:p>
    <w:p>
      <w:pPr>
        <w:jc w:val="both"/>
      </w:pPr>
      <w:r>
        <w:rPr/>
        <w:t xml:space="preserve">En todo lo demás, la ciudadanía puede emplear los medios legalmente establecidos para ejercer su derecho de acceso a la información pública.</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2026-07-14T22:05:42+00:00</dcterms:created>
  <dcterms:modified xsi:type="dcterms:W3CDTF">2026-07-14T22:05:42+00:00</dcterms:modified>
</cp:coreProperties>
</file>

<file path=docProps/custom.xml><?xml version="1.0" encoding="utf-8"?>
<Properties xmlns="http://schemas.openxmlformats.org/officeDocument/2006/custom-properties" xmlns:vt="http://schemas.openxmlformats.org/officeDocument/2006/docPropsVTypes"/>
</file>