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 de 26 de diciembre) en su apartado 18. Derecho de acceso a la información pública concretamente en el subapartado “1201 Información estadística sobre las resoluciones de las solicitudes de derecho de acceso a la información pública”, desde el Patronato de la Fundación Canaria Nanino Díaz Cutillas, se pone en conocimiento del público en general, que </w:t>
      </w:r>
      <w:r>
        <w:rPr>
          <w:b w:val="1"/>
          <w:bCs w:val="1"/>
        </w:rPr>
        <w:t xml:space="preserve">no se han recibido solicitudes de derecho de acceso durante el período comprendido entre el segundo semestre del año 2023 y el año 2024, por lo tanto, no se han podido realizar estadísticas sobre las resoluciones de derecho de acceso</w:t>
      </w:r>
      <w:r>
        <w:rPr/>
        <w:t xml:space="preserve">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2026-08-30T05:21:02+00:00</dcterms:created>
  <dcterms:modified xsi:type="dcterms:W3CDTF">2026-08-30T05:21:02+00:00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