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normativa vigente, se informa que la </w:t>
      </w:r>
      <w:r>
        <w:rPr>
          <w:b w:val="1"/>
          <w:bCs w:val="1"/>
        </w:rPr>
        <w:t xml:space="preserve">Fundación Nanino</w:t>
      </w:r>
      <w:r>
        <w:rPr/>
        <w:t xml:space="preserve"> no está sujeta a la obligación de someter sus cuentas a una auditoría externa. Al estar adscrita al </w:t>
      </w:r>
      <w:r>
        <w:rPr>
          <w:b w:val="1"/>
          <w:bCs w:val="1"/>
        </w:rPr>
        <w:t xml:space="preserve">Cabildo de Gran Canaria</w:t>
      </w:r>
      <w:r>
        <w:rPr/>
        <w:t xml:space="preserve">, la entidad se somete a los mecanismos de control interno y fiscalización propios de la administración pública de la que depende.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2026-10-16T01:06:33+00:00</dcterms:created>
  <dcterms:modified xsi:type="dcterms:W3CDTF">2026-10-16T01:06:33+00:00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